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333333"/>
          <w:sz w:val="23"/>
          <w:szCs w:val="23"/>
          <w:highlight w:val="white"/>
        </w:rPr>
      </w:pPr>
      <w:r w:rsidDel="00000000" w:rsidR="00000000" w:rsidRPr="00000000">
        <w:rPr>
          <w:b w:val="1"/>
          <w:color w:val="333333"/>
          <w:sz w:val="23"/>
          <w:szCs w:val="23"/>
          <w:highlight w:val="white"/>
          <w:rtl w:val="0"/>
        </w:rPr>
        <w:t xml:space="preserve">6.3.1 - The institution has a performance appraisal system, promotional avenues and effective welfare measures for teaching and non-teaching staff </w:t>
      </w:r>
    </w:p>
    <w:p w:rsidR="00000000" w:rsidDel="00000000" w:rsidP="00000000" w:rsidRDefault="00000000" w:rsidRPr="00000000" w14:paraId="00000002">
      <w:pPr>
        <w:rPr>
          <w:b w:val="1"/>
          <w:color w:val="333333"/>
          <w:sz w:val="23"/>
          <w:szCs w:val="23"/>
          <w:highlight w:val="white"/>
        </w:rPr>
      </w:pPr>
      <w:r w:rsidDel="00000000" w:rsidR="00000000" w:rsidRPr="00000000">
        <w:rPr>
          <w:rtl w:val="0"/>
        </w:rPr>
      </w:r>
    </w:p>
    <w:p w:rsidR="00000000" w:rsidDel="00000000" w:rsidP="00000000" w:rsidRDefault="00000000" w:rsidRPr="00000000" w14:paraId="00000003">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The University follows API (PBAS) as prescribed by UGC for faculty appraisal. The annual self-assessment form is to be filled out by each faculty member and staff member annually for every academic year. It is evaluated by the concerned Head of Departments. The Dean of Academics and Research and Vice-Chancellor also give their opinion on these forms. In addition, the promotion of the faculty members is based on a Career Advancement Scheme as per UGC guidelines. The non-teaching staff must also fill out their appraisal in the defined format and submit it to their respective HoD for recommendations</w:t>
      </w:r>
    </w:p>
    <w:p w:rsidR="00000000" w:rsidDel="00000000" w:rsidP="00000000" w:rsidRDefault="00000000" w:rsidRPr="00000000" w14:paraId="00000004">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The following and many others welfare measures are available:</w:t>
      </w:r>
    </w:p>
    <w:p w:rsidR="00000000" w:rsidDel="00000000" w:rsidP="00000000" w:rsidRDefault="00000000" w:rsidRPr="00000000" w14:paraId="00000005">
      <w:pPr>
        <w:numPr>
          <w:ilvl w:val="0"/>
          <w:numId w:val="1"/>
        </w:numPr>
        <w:spacing w:after="0" w:afterAutospacing="0" w:before="240" w:lineRule="auto"/>
        <w:ind w:left="720" w:hanging="360"/>
        <w:rPr>
          <w:color w:val="333333"/>
          <w:sz w:val="23"/>
          <w:szCs w:val="23"/>
          <w:highlight w:val="white"/>
        </w:rPr>
      </w:pPr>
      <w:r w:rsidDel="00000000" w:rsidR="00000000" w:rsidRPr="00000000">
        <w:rPr>
          <w:color w:val="333333"/>
          <w:sz w:val="23"/>
          <w:szCs w:val="23"/>
          <w:highlight w:val="white"/>
          <w:rtl w:val="0"/>
        </w:rPr>
        <w:t xml:space="preserve">EPF and gratuity benefits, as per government norms, are provided.</w:t>
      </w:r>
    </w:p>
    <w:p w:rsidR="00000000" w:rsidDel="00000000" w:rsidP="00000000" w:rsidRDefault="00000000" w:rsidRPr="00000000" w14:paraId="00000006">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Leave Travel Allowance (LTA) can be availed by all as per the rules.</w:t>
      </w:r>
    </w:p>
    <w:p w:rsidR="00000000" w:rsidDel="00000000" w:rsidP="00000000" w:rsidRDefault="00000000" w:rsidRPr="00000000" w14:paraId="00000007">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JUIT offers a 5% quota to the wards of its employees on a merit basis.</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The faculty members can avail of the full registration fee and/or 50% TA/DA (national/international travel)</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Paid leave for visits in connection with research work.</w:t>
      </w:r>
    </w:p>
    <w:p w:rsidR="00000000" w:rsidDel="00000000" w:rsidP="00000000" w:rsidRDefault="00000000" w:rsidRPr="00000000" w14:paraId="0000000A">
      <w:pPr>
        <w:numPr>
          <w:ilvl w:val="0"/>
          <w:numId w:val="1"/>
        </w:numPr>
        <w:spacing w:after="24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The faculty members are entitled to 60 days of vacation, whereas other staff are entitled to 30 days of paid leave.</w:t>
      </w:r>
    </w:p>
    <w:p w:rsidR="00000000" w:rsidDel="00000000" w:rsidP="00000000" w:rsidRDefault="00000000" w:rsidRPr="00000000" w14:paraId="0000000B">
      <w:pPr>
        <w:rPr>
          <w:color w:val="333333"/>
          <w:sz w:val="23"/>
          <w:szCs w:val="23"/>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