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333333"/>
          <w:sz w:val="23"/>
          <w:szCs w:val="23"/>
          <w:highlight w:val="white"/>
        </w:rPr>
      </w:pPr>
      <w:r w:rsidDel="00000000" w:rsidR="00000000" w:rsidRPr="00000000">
        <w:rPr>
          <w:b w:val="1"/>
          <w:color w:val="333333"/>
          <w:sz w:val="23"/>
          <w:szCs w:val="23"/>
          <w:highlight w:val="white"/>
          <w:rtl w:val="0"/>
        </w:rPr>
        <w:t xml:space="preserve">6.2.1 - The institutional Strategic plan is effectively deployed </w:t>
      </w:r>
    </w:p>
    <w:p w:rsidR="00000000" w:rsidDel="00000000" w:rsidP="00000000" w:rsidRDefault="00000000" w:rsidRPr="00000000" w14:paraId="00000002">
      <w:pPr>
        <w:rPr>
          <w:b w:val="1"/>
          <w:color w:val="333333"/>
          <w:sz w:val="23"/>
          <w:szCs w:val="23"/>
          <w:highlight w:val="white"/>
        </w:rPr>
      </w:pPr>
      <w:r w:rsidDel="00000000" w:rsidR="00000000" w:rsidRPr="00000000">
        <w:rPr>
          <w:rtl w:val="0"/>
        </w:rPr>
      </w:r>
    </w:p>
    <w:p w:rsidR="00000000" w:rsidDel="00000000" w:rsidP="00000000" w:rsidRDefault="00000000" w:rsidRPr="00000000" w14:paraId="00000003">
      <w:pPr>
        <w:spacing w:after="240" w:before="240" w:lineRule="auto"/>
        <w:rPr>
          <w:color w:val="333333"/>
          <w:sz w:val="23"/>
          <w:szCs w:val="23"/>
          <w:highlight w:val="white"/>
        </w:rPr>
      </w:pPr>
      <w:r w:rsidDel="00000000" w:rsidR="00000000" w:rsidRPr="00000000">
        <w:rPr>
          <w:color w:val="333333"/>
          <w:sz w:val="23"/>
          <w:szCs w:val="23"/>
          <w:highlight w:val="white"/>
          <w:rtl w:val="0"/>
        </w:rPr>
        <w:t xml:space="preserve">The vision of the University is to become a centre of excellence in the field of IT and related emerging areas in education, training, and research to produce professionals who shall be leaders in innovation, entrepreneurship, creativity, and management. The following major areas are covered in the Strategic Plan:</w:t>
      </w:r>
    </w:p>
    <w:p w:rsidR="00000000" w:rsidDel="00000000" w:rsidP="00000000" w:rsidRDefault="00000000" w:rsidRPr="00000000" w14:paraId="00000004">
      <w:pPr>
        <w:numPr>
          <w:ilvl w:val="0"/>
          <w:numId w:val="1"/>
        </w:numPr>
        <w:spacing w:after="0" w:afterAutospacing="0" w:before="240" w:lineRule="auto"/>
        <w:ind w:left="720" w:hanging="360"/>
        <w:rPr>
          <w:color w:val="333333"/>
          <w:sz w:val="23"/>
          <w:szCs w:val="23"/>
          <w:highlight w:val="white"/>
        </w:rPr>
      </w:pPr>
      <w:r w:rsidDel="00000000" w:rsidR="00000000" w:rsidRPr="00000000">
        <w:rPr>
          <w:color w:val="333333"/>
          <w:sz w:val="23"/>
          <w:szCs w:val="23"/>
          <w:highlight w:val="white"/>
          <w:rtl w:val="0"/>
        </w:rPr>
        <w:t xml:space="preserve">University has adopted e-learning platforms like NPTEL, SWAYAM, COURSERA, and Infosys Springboard etc.</w:t>
      </w:r>
    </w:p>
    <w:p w:rsidR="00000000" w:rsidDel="00000000" w:rsidP="00000000" w:rsidRDefault="00000000" w:rsidRPr="00000000" w14:paraId="00000005">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Academic Departments have Professional and Minor courses available.</w:t>
      </w:r>
    </w:p>
    <w:p w:rsidR="00000000" w:rsidDel="00000000" w:rsidP="00000000" w:rsidRDefault="00000000" w:rsidRPr="00000000" w14:paraId="00000006">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The university organizes conferences, workshops and boot camps for the students, Faculty and Lab staff.</w:t>
      </w:r>
    </w:p>
    <w:p w:rsidR="00000000" w:rsidDel="00000000" w:rsidP="00000000" w:rsidRDefault="00000000" w:rsidRPr="00000000" w14:paraId="00000007">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Project-based courses with a focus on the publication of research papers and patent grants.</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Establishment of research culture through IEEE chapter, ACM and SIAM.</w:t>
      </w:r>
    </w:p>
    <w:p w:rsidR="00000000" w:rsidDel="00000000" w:rsidP="00000000" w:rsidRDefault="00000000" w:rsidRPr="00000000" w14:paraId="00000009">
      <w:pPr>
        <w:numPr>
          <w:ilvl w:val="0"/>
          <w:numId w:val="1"/>
        </w:numPr>
        <w:spacing w:after="24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To promote the spirit of entrepreneurship among students, the University has established a Technology Incubation and Entrepreneurship Development Cell (TIEDC).</w:t>
      </w:r>
    </w:p>
    <w:p w:rsidR="00000000" w:rsidDel="00000000" w:rsidP="00000000" w:rsidRDefault="00000000" w:rsidRPr="00000000" w14:paraId="0000000A">
      <w:pPr>
        <w:spacing w:after="240" w:before="240" w:lineRule="auto"/>
        <w:rPr>
          <w:color w:val="333333"/>
          <w:sz w:val="23"/>
          <w:szCs w:val="23"/>
          <w:highlight w:val="white"/>
        </w:rPr>
      </w:pPr>
      <w:r w:rsidDel="00000000" w:rsidR="00000000" w:rsidRPr="00000000">
        <w:rPr>
          <w:color w:val="333333"/>
          <w:sz w:val="23"/>
          <w:szCs w:val="23"/>
          <w:highlight w:val="white"/>
          <w:rtl w:val="0"/>
        </w:rPr>
        <w:t xml:space="preserve">TIEDC is supported by the Department of Industries, Himachal Pradesh, under the Chief Minister's Startup/Innovation Projects/New Industries Scheme. TIEDC provides mentoring and technological guidance to prospective Entrepreneurs. With support from the Himachal Pradesh government, students doing projects get the sustenance allowance of Rs. 25,000/-per month for one year for their projects.</w:t>
      </w:r>
    </w:p>
    <w:p w:rsidR="00000000" w:rsidDel="00000000" w:rsidP="00000000" w:rsidRDefault="00000000" w:rsidRPr="00000000" w14:paraId="0000000B">
      <w:pPr>
        <w:rPr>
          <w:b w:val="1"/>
          <w:color w:val="333333"/>
          <w:sz w:val="23"/>
          <w:szCs w:val="23"/>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